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0A" w:rsidRDefault="00DA0B0A" w:rsidP="004127FC">
      <w:pPr>
        <w:pStyle w:val="a3"/>
        <w:numPr>
          <w:ilvl w:val="0"/>
          <w:numId w:val="1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61BC" w:rsidRPr="004161BC" w:rsidRDefault="004161BC" w:rsidP="004161BC">
      <w:pPr>
        <w:pBdr>
          <w:bottom w:val="single" w:sz="6" w:space="0" w:color="D6DDB9"/>
        </w:pBdr>
        <w:spacing w:before="120"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161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Программа «Азбука танца» направлена на всестороннее гармоничное развитие детей. Научить ребенка воспринимать красоту форм, линий, звуков, движений, красок – это значит сделать его лучше, чище, содержательнее. Это эмоциональное, интеллектуальное, физическое, коммуникативное, морально – нравственное, эстетическое развитие, которое достигается в образовательной танцевальной деятельности.</w:t>
      </w:r>
    </w:p>
    <w:p w:rsidR="004161BC" w:rsidRPr="004161BC" w:rsidRDefault="004161BC" w:rsidP="004161BC">
      <w:pPr>
        <w:pBdr>
          <w:bottom w:val="single" w:sz="6" w:space="0" w:color="D6DDB9"/>
        </w:pBdr>
        <w:spacing w:before="120"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16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сторонне-гармоничной личности </w:t>
      </w:r>
      <w:r w:rsidRPr="00416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школьника.</w:t>
      </w:r>
    </w:p>
    <w:p w:rsidR="004161BC" w:rsidRDefault="004161BC" w:rsidP="004127F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B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«Азбука танца» </w:t>
      </w:r>
      <w:r w:rsidRPr="004161BC">
        <w:rPr>
          <w:rFonts w:ascii="Times New Roman" w:hAnsi="Times New Roman" w:cs="Times New Roman"/>
          <w:sz w:val="24"/>
          <w:szCs w:val="24"/>
        </w:rPr>
        <w:t xml:space="preserve">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</w:t>
      </w:r>
      <w:r w:rsidR="00586A93">
        <w:rPr>
          <w:rFonts w:ascii="Times New Roman" w:hAnsi="Times New Roman" w:cs="Times New Roman"/>
          <w:sz w:val="24"/>
          <w:szCs w:val="24"/>
        </w:rPr>
        <w:t xml:space="preserve">воспитания МБОУ ЦО №27. </w:t>
      </w:r>
      <w:r w:rsidRPr="004161BC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4161BC">
        <w:rPr>
          <w:rFonts w:ascii="Times New Roman" w:hAnsi="Times New Roman" w:cs="Times New Roman"/>
          <w:sz w:val="24"/>
          <w:szCs w:val="24"/>
        </w:rPr>
        <w:t>метапред</w:t>
      </w:r>
      <w:r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результатов, </w:t>
      </w:r>
      <w:r w:rsidRPr="004161BC">
        <w:rPr>
          <w:rFonts w:ascii="Times New Roman" w:hAnsi="Times New Roman" w:cs="Times New Roman"/>
          <w:sz w:val="24"/>
          <w:szCs w:val="24"/>
        </w:rPr>
        <w:t>учитывает практический опыт образовательных организаций, осуществлявших исследовательскую и экспериментальную работу по данному напра</w:t>
      </w:r>
      <w:r>
        <w:rPr>
          <w:rFonts w:ascii="Times New Roman" w:hAnsi="Times New Roman" w:cs="Times New Roman"/>
          <w:sz w:val="24"/>
          <w:szCs w:val="24"/>
        </w:rPr>
        <w:t>влению эстетического воспитания.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Программа художественной направленности. Направлена на формирование художественно- эстетического вкуса, развитие художественных способностей и склонностей детей к танцевальному искусству, способствует развитию творческой одаренности детей. Уровень программы базовый.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C15E9A">
        <w:rPr>
          <w:rFonts w:ascii="Times New Roman" w:hAnsi="Times New Roman" w:cs="Times New Roman"/>
          <w:sz w:val="24"/>
          <w:szCs w:val="24"/>
        </w:rPr>
        <w:t xml:space="preserve"> в разностороннем воздействии на организм ребенка. Программа поможет творчески </w:t>
      </w:r>
      <w:proofErr w:type="spellStart"/>
      <w:r w:rsidRPr="00C15E9A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C15E9A">
        <w:rPr>
          <w:rFonts w:ascii="Times New Roman" w:hAnsi="Times New Roman" w:cs="Times New Roman"/>
          <w:sz w:val="24"/>
          <w:szCs w:val="24"/>
        </w:rPr>
        <w:t xml:space="preserve"> и проявить себя посредством пластики, ритмики и импровизации. Дети впервые могут одеть сценический костюм, подготовленный специально к танцевальному номеру. С непосредственным участием родителей дети выступят на своих первых концертах и конкурсах. Всё это несомненно содействует усилению воспитательного эффекта, проводимого в комплексе семьи и образовательного учреждения.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Отличительные особенности программы: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развитие воображения ребёнка через особые формы двигательной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активности (изучение простейших танцевальных движений, составляющих основу детских танцев);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формирование осмысленной моторики, которое предполагает развитие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формирование навыков коллективного взаимодействия и взаимного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уважения при постановке танцев и подготовке публичного выступления.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15E9A">
        <w:rPr>
          <w:rFonts w:ascii="Times New Roman" w:hAnsi="Times New Roman" w:cs="Times New Roman"/>
          <w:bCs/>
          <w:sz w:val="24"/>
          <w:szCs w:val="24"/>
        </w:rPr>
        <w:t>: формирование творческой личности посредством обучения детей языку танца, приобщение обучающихся к миру танцевального искусства.</w:t>
      </w:r>
      <w:r w:rsidRPr="00C15E9A">
        <w:rPr>
          <w:rFonts w:ascii="Times New Roman" w:hAnsi="Times New Roman" w:cs="Times New Roman"/>
          <w:sz w:val="24"/>
          <w:szCs w:val="24"/>
        </w:rPr>
        <w:t xml:space="preserve"> Создание условий </w:t>
      </w:r>
      <w:r w:rsidRPr="00C15E9A">
        <w:rPr>
          <w:rFonts w:ascii="Times New Roman" w:hAnsi="Times New Roman" w:cs="Times New Roman"/>
          <w:sz w:val="24"/>
          <w:szCs w:val="24"/>
        </w:rPr>
        <w:lastRenderedPageBreak/>
        <w:t>для социализации личности ребенка, укрепления его здоровья, содействия всестороннему развитию, через обучение навыкам танцевального искусства, с использованием игрового метода.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15E9A">
        <w:rPr>
          <w:rFonts w:ascii="Times New Roman" w:hAnsi="Times New Roman" w:cs="Times New Roman"/>
          <w:sz w:val="24"/>
          <w:szCs w:val="24"/>
        </w:rPr>
        <w:t>: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Обучать детей танцевальным движениям;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умение слушать музыку, понимать ее настроение, характер, передавать их танцевальными движениями;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пластику, культуру движения, их выразительность;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умение ориентироваться в пространстве;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правильную постановку корпуса, рук, ног, головы;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 - выражать через образы собственное восприятие музыки;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 - расширять музыкальный кругозор и пополнить словарный запас;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 - уметь отмечать в движении метр (сильную долю такта), простейший ритмический рисунок;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C15E9A">
        <w:rPr>
          <w:rFonts w:ascii="Times New Roman" w:hAnsi="Times New Roman" w:cs="Times New Roman"/>
          <w:sz w:val="24"/>
          <w:szCs w:val="24"/>
        </w:rPr>
        <w:t>: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развивать у детей активность и самостоятельность, коммуникативные способности;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общую культуру личности ребенка, способность ориентироваться в современном обществе;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нравственно-эстетические отношения между детьми и взрослыми;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создавать атмосферу радости детского творчества в сотрудничестве, воспитать у детей интерес к занятиям хореографией путем создания положительного эмоционального настроя;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воспитывать умение работать в паре, в коллективе;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понимать и исполнять ритмические движения, названия которых даются педагогом на французском языке.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развить музыкальный слух и чувство ритма;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развить воображение, фантазию;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формировать умение ритмично двигаться в соответствии с различным характером музыки, динамикой;</w:t>
      </w:r>
    </w:p>
    <w:p w:rsidR="00C15E9A" w:rsidRPr="00C15E9A" w:rsidRDefault="00C15E9A" w:rsidP="00C15E9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E9A">
        <w:rPr>
          <w:rFonts w:ascii="Times New Roman" w:hAnsi="Times New Roman" w:cs="Times New Roman"/>
          <w:sz w:val="24"/>
          <w:szCs w:val="24"/>
        </w:rPr>
        <w:t>- приобщать к совместному движению с педагогом.</w:t>
      </w:r>
    </w:p>
    <w:p w:rsidR="00D91A72" w:rsidRPr="00735837" w:rsidRDefault="00D91A72" w:rsidP="004127FC">
      <w:pPr>
        <w:tabs>
          <w:tab w:val="left" w:pos="1134"/>
        </w:tabs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ПЛАНИРУЕМЫЕ РЕЗУЛЬТАТЫ </w:t>
      </w:r>
    </w:p>
    <w:p w:rsidR="00D91A72" w:rsidRPr="00716BC3" w:rsidRDefault="00D91A72" w:rsidP="004127F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планируемых результатов освоения </w:t>
      </w:r>
      <w:bookmarkStart w:id="0" w:name="_GoBack"/>
      <w:bookmarkEnd w:id="0"/>
      <w:r w:rsidRPr="0071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отнесены:</w:t>
      </w:r>
    </w:p>
    <w:p w:rsidR="00D91A72" w:rsidRPr="00716BC3" w:rsidRDefault="00D91A72" w:rsidP="004127FC">
      <w:pPr>
        <w:numPr>
          <w:ilvl w:val="0"/>
          <w:numId w:val="4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1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D91A72" w:rsidRPr="00716BC3" w:rsidRDefault="00D91A72" w:rsidP="004127FC">
      <w:pPr>
        <w:numPr>
          <w:ilvl w:val="0"/>
          <w:numId w:val="4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71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D91A72" w:rsidRPr="00716BC3" w:rsidRDefault="00D91A72" w:rsidP="004127FC">
      <w:pPr>
        <w:numPr>
          <w:ilvl w:val="0"/>
          <w:numId w:val="4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</w:t>
      </w:r>
      <w:r w:rsidRPr="0071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D91A72" w:rsidRDefault="00D91A72" w:rsidP="004127FC">
      <w:pPr>
        <w:pStyle w:val="a3"/>
        <w:tabs>
          <w:tab w:val="left" w:pos="0"/>
          <w:tab w:val="left" w:pos="1134"/>
        </w:tabs>
        <w:spacing w:before="120" w:after="12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3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</w:p>
    <w:p w:rsidR="00D91A72" w:rsidRPr="00641051" w:rsidRDefault="00D91A72" w:rsidP="004127F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учётом реализации </w:t>
      </w:r>
      <w:proofErr w:type="spellStart"/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по разделам:</w:t>
      </w:r>
    </w:p>
    <w:p w:rsidR="00D91A72" w:rsidRPr="00641051" w:rsidRDefault="00D91A72" w:rsidP="004127F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«Музыкальное воспитание», </w:t>
      </w:r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 учатся слышать в музыке разное эмоциональное состояние и передавать его движениями.</w:t>
      </w:r>
    </w:p>
    <w:p w:rsidR="00D91A72" w:rsidRPr="00641051" w:rsidRDefault="00D91A72" w:rsidP="004127F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«Ознакомление с художественной литературой», </w:t>
      </w:r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 знакомятся с литературными произведениями, которые лягут в основу предстоящей постановки ритмопластического спектакля.</w:t>
      </w:r>
    </w:p>
    <w:p w:rsidR="00D91A72" w:rsidRPr="00641051" w:rsidRDefault="00D91A72" w:rsidP="004127F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«Ознакомление с окружающим», </w:t>
      </w:r>
      <w:r w:rsidRPr="0064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D91A72" w:rsidRPr="00641051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применения комплексов упражнений для детей дошкольного от младшего школьного возраста являлось: 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и детальное разучивание упражнений в медленном темпе;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повторений упражнений; 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темп выполнения упражнений;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по сложности упражнения; 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на ошибках в виду быстрой утомляемости;</w:t>
      </w:r>
    </w:p>
    <w:p w:rsidR="00D91A72" w:rsidRPr="00641051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в медленном и среднем темпе;</w:t>
      </w:r>
    </w:p>
    <w:p w:rsidR="00D91A72" w:rsidRDefault="00D91A72" w:rsidP="004127FC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должны занимать не более 40% занятия.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включает следующие разделы:</w:t>
      </w:r>
    </w:p>
    <w:p w:rsidR="00D91A72" w:rsidRPr="008B20AB" w:rsidRDefault="00D91A72" w:rsidP="004127FC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Ритмика, элементы музыкальной грамоты.</w:t>
      </w:r>
    </w:p>
    <w:p w:rsidR="00D91A72" w:rsidRPr="008B20AB" w:rsidRDefault="00D91A72" w:rsidP="004127FC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азбука (тренаж).</w:t>
      </w:r>
    </w:p>
    <w:p w:rsidR="00D91A72" w:rsidRPr="008B20AB" w:rsidRDefault="00D91A72" w:rsidP="004127FC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(народный, историко-бытовой, бальный, современный).</w:t>
      </w:r>
    </w:p>
    <w:p w:rsidR="00D91A72" w:rsidRPr="008B20AB" w:rsidRDefault="00D91A72" w:rsidP="004127FC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хореографическому искусству.</w:t>
      </w:r>
    </w:p>
    <w:p w:rsidR="00D91A72" w:rsidRPr="008B20AB" w:rsidRDefault="00D91A72" w:rsidP="004127FC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«Ритмика и элементы музыкальной грамоты».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</w:t>
      </w:r>
    </w:p>
    <w:p w:rsidR="00D91A72" w:rsidRPr="008B20AB" w:rsidRDefault="00D91A72" w:rsidP="004127FC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подбор музыкального произведения в соответствии с исполненным движением;</w:t>
      </w:r>
    </w:p>
    <w:p w:rsidR="00D91A72" w:rsidRPr="008B20AB" w:rsidRDefault="00D91A72" w:rsidP="004127FC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художественное и выразительное исполнение музыки, которое является главным методическим приёмом преподавания.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Музыкально-ритмическая деятельность включает ритмические упражнения, построения и перестроения,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узыкальные игры для школьников 1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слушание и разбор танцевальной музыки.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«Танцевальная азбука».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изучение основных позиций и движений классического, народно — характерного и бального танца.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по классическому танцу придаётся особое значение, т.к. классический танец является основой хореографической подготовки обучающихся.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«Танец».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историко-бытовым и бальным танцем органически связано с усвоением норм этики, выработки высокой культуры, общения между людьми.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программный материал по изучению историко-бытового танца входит:</w:t>
      </w:r>
    </w:p>
    <w:p w:rsidR="00D91A72" w:rsidRPr="008B20AB" w:rsidRDefault="00D91A72" w:rsidP="004127FC">
      <w:pPr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тренировочных упражнений на середине зала,</w:t>
      </w:r>
    </w:p>
    <w:p w:rsidR="00D91A72" w:rsidRPr="008B20AB" w:rsidRDefault="00D91A72" w:rsidP="004127FC">
      <w:pPr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упражнения,</w:t>
      </w:r>
    </w:p>
    <w:p w:rsidR="00D91A72" w:rsidRPr="008B20AB" w:rsidRDefault="00D91A72" w:rsidP="004127FC">
      <w:pPr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танцевальных композиций.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 —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дети изучают элементы современной пластики. В комплекс упражнений входит:</w:t>
      </w:r>
    </w:p>
    <w:p w:rsidR="00D91A72" w:rsidRPr="008B20AB" w:rsidRDefault="00D91A72" w:rsidP="004127FC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партерная гимнастика;</w:t>
      </w:r>
    </w:p>
    <w:p w:rsidR="00D91A72" w:rsidRPr="008B20AB" w:rsidRDefault="00D91A72" w:rsidP="004127FC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 на середине зала;</w:t>
      </w:r>
    </w:p>
    <w:p w:rsidR="00D91A72" w:rsidRPr="008B20AB" w:rsidRDefault="00D91A72" w:rsidP="004127FC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движения;</w:t>
      </w:r>
    </w:p>
    <w:p w:rsidR="00D91A72" w:rsidRPr="008B20AB" w:rsidRDefault="00D91A72" w:rsidP="004127FC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различной координационной сложности.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«Беседы по хореографическому искусству».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хореографическому искусству проводятся систематически в течении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с другим видами искусства.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</w:t>
      </w:r>
    </w:p>
    <w:p w:rsidR="00D91A72" w:rsidRPr="008B20AB" w:rsidRDefault="00D91A72" w:rsidP="004127F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«Творческая деятельность».</w:t>
      </w:r>
    </w:p>
    <w:p w:rsidR="00D91A72" w:rsidRDefault="00D91A72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творческих ситуаций используется метод моделирования детьми «взрослых отношений», </w:t>
      </w:r>
      <w:proofErr w:type="gramStart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— учитель танцев», «Я- художник по костюмам»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в содержание раздела входят задания по развитию </w:t>
      </w:r>
      <w:proofErr w:type="spellStart"/>
      <w:proofErr w:type="gramStart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</w:t>
      </w:r>
      <w:proofErr w:type="spellEnd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-пластики</w:t>
      </w:r>
      <w:proofErr w:type="gramEnd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упражнения танцевального тренинга, </w:t>
      </w:r>
      <w:proofErr w:type="spellStart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 песен, пословиц, сказок и т.д.; этюды для развития выразительности 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включаются в занятия в небольшом объёме, или проводятся отдельными уроками по темам.</w:t>
      </w:r>
    </w:p>
    <w:p w:rsidR="00586A93" w:rsidRPr="008B20AB" w:rsidRDefault="00586A93" w:rsidP="004127F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36 часов по 1 часу в неделю. Час занятия включат в себя с сентября по январь – 35 минут, с января по май – 40 минут. Состав группы – 25 человек</w:t>
      </w:r>
    </w:p>
    <w:p w:rsidR="00D91A72" w:rsidRDefault="00D91A72" w:rsidP="00D91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Default="00D91A72" w:rsidP="00D91A7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1A72" w:rsidRDefault="00D91A72" w:rsidP="00D91A7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5"/>
        <w:tblW w:w="902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618"/>
        <w:gridCol w:w="6588"/>
      </w:tblGrid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18" w:type="dxa"/>
            <w:vAlign w:val="center"/>
          </w:tcPr>
          <w:p w:rsidR="00D91A72" w:rsidRPr="002F4335" w:rsidRDefault="00D91A72" w:rsidP="004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Введение. Что такое ритмика.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Основные танцевальные правила. Приветствие. Постановка корпуса.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Первый подход к ритмическому исполнению (хлопки, выстукивания, притоп).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Понятие о правой, левой руке, правой, левой стороне. Повороты и наклоны корпуса.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Поза исполнителя. Зритель, исполнитель. Положение фигуры по отношению к зрителю. Ракурс.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Танцы народов РФ, их особенности и костюмы.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Танцевальная зарядка. Упражнения для рук.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Ритмическая схема. Ритмическая игра.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Ритмические упражнения с предметом (мяч, обруч, платок).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Простейшие танцевальные элементы в форме игры.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Этюдная работа. Игры. Понятие пантомима.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Упражнения для развития плавности и мягкости движений. Пластичная гимнастика.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Синхронность и координация движений, используя танцевальные упражнения.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Упражнения для профилактики плоскостопия.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Гимнастика. Упражнения на дыхание, упражнения для развития правильной осанки.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Упражнения для суставов. Разминка «Буратино».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Упражнения на расслабление мышц.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Этюдная работа. Пантомима. Игра «Телефон», «Замри».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Музыкальные, танцевальные темы.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Разучивание простейших танцевальных элементов «Часики», «Качели», «Мельница».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Настроение в музыке и танце. Характер исполнения.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Выразительные средства музыки и танца. Музыка, движение, исполнители, костюмы.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Правила танцевального этикета.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CB7ACD" w:rsidRDefault="00D91A72" w:rsidP="004127FC">
            <w:pPr>
              <w:pStyle w:val="a4"/>
            </w:pPr>
            <w:r w:rsidRPr="00CB7ACD">
              <w:t>Аэробика.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народной хореографии: </w:t>
            </w:r>
            <w:proofErr w:type="spellStart"/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, елочка.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игры: «Коршун и курица»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игра: «Магазин игрушек».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Упражнения на выстукивание под музыку.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Отработка упражнений. Танец «Самба»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Танец «</w:t>
            </w:r>
            <w:proofErr w:type="spellStart"/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Джайв</w:t>
            </w:r>
            <w:proofErr w:type="spellEnd"/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 xml:space="preserve">ОРУ: перекаты стопы.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 xml:space="preserve"> «Квикстеп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ind w:left="0" w:firstLine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Default="00D91A72" w:rsidP="004127FC">
            <w:pPr>
              <w:tabs>
                <w:tab w:val="left" w:pos="15026"/>
                <w:tab w:val="left" w:pos="15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7">
              <w:rPr>
                <w:rFonts w:ascii="Times New Roman" w:hAnsi="Times New Roman" w:cs="Times New Roman"/>
                <w:sz w:val="24"/>
                <w:szCs w:val="24"/>
              </w:rPr>
              <w:t>Этюдная работа.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Pr="002F4335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танца. Репетиционная работа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танца. Репетиционная работа</w:t>
            </w:r>
          </w:p>
        </w:tc>
      </w:tr>
      <w:tr w:rsidR="00D91A72" w:rsidTr="004127FC">
        <w:trPr>
          <w:jc w:val="center"/>
        </w:trPr>
        <w:tc>
          <w:tcPr>
            <w:tcW w:w="817" w:type="dxa"/>
            <w:vAlign w:val="center"/>
          </w:tcPr>
          <w:p w:rsidR="00D91A72" w:rsidRPr="00D91A72" w:rsidRDefault="00D91A72" w:rsidP="004127FC">
            <w:pPr>
              <w:pStyle w:val="a3"/>
              <w:numPr>
                <w:ilvl w:val="0"/>
                <w:numId w:val="10"/>
              </w:num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D91A72" w:rsidRPr="009A66C6" w:rsidRDefault="00D91A72" w:rsidP="004127FC">
            <w:pPr>
              <w:tabs>
                <w:tab w:val="left" w:pos="15026"/>
                <w:tab w:val="left" w:pos="157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vAlign w:val="center"/>
          </w:tcPr>
          <w:p w:rsidR="00D91A72" w:rsidRDefault="00D91A72" w:rsidP="004127F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Урок-выступление. Подведение итогов.</w:t>
            </w:r>
          </w:p>
        </w:tc>
      </w:tr>
    </w:tbl>
    <w:p w:rsidR="00D91A72" w:rsidRPr="002F4335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A72" w:rsidRPr="00D91A72" w:rsidRDefault="00D91A72" w:rsidP="00D91A72">
      <w:pPr>
        <w:tabs>
          <w:tab w:val="left" w:pos="1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4527" w:rsidRPr="001B19AB" w:rsidRDefault="00444527" w:rsidP="001B19AB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AB" w:rsidRPr="001B19AB" w:rsidRDefault="001B19AB" w:rsidP="001B19AB">
      <w:pPr>
        <w:pBdr>
          <w:bottom w:val="single" w:sz="6" w:space="0" w:color="D6DDB9"/>
        </w:pBdr>
        <w:spacing w:before="120" w:after="120" w:line="240" w:lineRule="auto"/>
        <w:ind w:left="5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СПИСОК ЛИТЕРАТУРЫ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Барышникова Т. Азбука хореографии, Москва: Айрис Пресс, 1999.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Безуглая, Г.А. Музыкальный анализ в работе педагога-хореографа: Учебное пособие. Безуглая Г.А. / Г.А. Безуглая. - М.: Лань, Планета музыки, 2015. - </w:t>
      </w:r>
      <w:r w:rsidRPr="001B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477</w:t>
      </w: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c.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Буренина А.И. Программа по ритмической пластике для детей дошкольного и младшего школьного возраста, СПб, 1997, «Ритмическая мозаика».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«Ритмика для детей: учебно-методическое пособие, Москва, </w:t>
      </w: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2008)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Калашникова Т.И.  Программа музыкально-ритмического воспитания. – ИГПК №1, 2007.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Безуглая, Г.А. Музыкальный анализ в работе педагога-хореографа: Учебное пособие. Безуглая Г.А. / Г.А. Безуглая. - М.: Лань, Планета музыки, 2015.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Одинцова, И.В. Звуки. Ритмика. Интонация (+ CD-ROM) / И.В. Одинцова. - М.: Флинта, 2018. - </w:t>
      </w:r>
      <w:r w:rsidRPr="001B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702</w:t>
      </w: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c.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хореографии «Хореографическая мозаика» Танцевальная мозаика /хореография в детском саду/ С.Л. Слуцкая. – М.: Линка-Пресс,2006;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Ж.Е., Сайкина, Е.Г. </w:t>
      </w: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-фи-</w:t>
      </w: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дансе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Танцевально-игровая гимнастика для детей: учебно-методическое пособие, СПб, Детство-пресс, 2001.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Коренева Т.Ф.: Музыкально-ритмические движения для детей дошкольного и младшего школьного возраста. - М.: </w:t>
      </w: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1B19AB" w:rsidRPr="001B19AB" w:rsidRDefault="001B19AB" w:rsidP="001B1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Цорн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А. Я. Грамматика танцевального искусства и хореографии / А.Я. </w:t>
      </w:r>
      <w:proofErr w:type="spellStart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Цорн</w:t>
      </w:r>
      <w:proofErr w:type="spellEnd"/>
      <w:r w:rsidRPr="001B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М.: Лань, Планета музыки, 2011. - 544 c.</w:t>
      </w:r>
    </w:p>
    <w:p w:rsidR="001B19AB" w:rsidRPr="001B19AB" w:rsidRDefault="001B19AB" w:rsidP="004127F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19AB" w:rsidRPr="001B19AB" w:rsidSect="00D91A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6E2"/>
    <w:multiLevelType w:val="multilevel"/>
    <w:tmpl w:val="57F2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3014359"/>
    <w:multiLevelType w:val="multilevel"/>
    <w:tmpl w:val="F8F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4C94"/>
    <w:multiLevelType w:val="multilevel"/>
    <w:tmpl w:val="210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878E1"/>
    <w:multiLevelType w:val="multilevel"/>
    <w:tmpl w:val="55B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C795B"/>
    <w:multiLevelType w:val="hybridMultilevel"/>
    <w:tmpl w:val="DADA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79D9"/>
    <w:multiLevelType w:val="multilevel"/>
    <w:tmpl w:val="7B0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13EA"/>
    <w:multiLevelType w:val="multilevel"/>
    <w:tmpl w:val="54A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F5ABA"/>
    <w:multiLevelType w:val="hybridMultilevel"/>
    <w:tmpl w:val="9BF2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8094C"/>
    <w:multiLevelType w:val="multilevel"/>
    <w:tmpl w:val="9A4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D035A"/>
    <w:multiLevelType w:val="hybridMultilevel"/>
    <w:tmpl w:val="D59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0A"/>
    <w:rsid w:val="0012122D"/>
    <w:rsid w:val="001425A7"/>
    <w:rsid w:val="001B19AB"/>
    <w:rsid w:val="004016AF"/>
    <w:rsid w:val="004127FC"/>
    <w:rsid w:val="004161BC"/>
    <w:rsid w:val="00444527"/>
    <w:rsid w:val="00586A93"/>
    <w:rsid w:val="005F45EE"/>
    <w:rsid w:val="00744C19"/>
    <w:rsid w:val="00871883"/>
    <w:rsid w:val="009C38E7"/>
    <w:rsid w:val="00C15E9A"/>
    <w:rsid w:val="00D91A72"/>
    <w:rsid w:val="00D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6CB43-4C10-46F1-9CB8-97AD2F4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0A"/>
  </w:style>
  <w:style w:type="paragraph" w:styleId="1">
    <w:name w:val="heading 1"/>
    <w:basedOn w:val="a"/>
    <w:link w:val="10"/>
    <w:uiPriority w:val="9"/>
    <w:qFormat/>
    <w:rsid w:val="0041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0A"/>
    <w:pPr>
      <w:ind w:left="720"/>
      <w:contextualSpacing/>
    </w:pPr>
  </w:style>
  <w:style w:type="paragraph" w:styleId="a4">
    <w:name w:val="Normal (Web)"/>
    <w:basedOn w:val="a"/>
    <w:unhideWhenUsed/>
    <w:rsid w:val="00D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4161BC"/>
  </w:style>
  <w:style w:type="character" w:customStyle="1" w:styleId="c79">
    <w:name w:val="c79"/>
    <w:basedOn w:val="a0"/>
    <w:rsid w:val="0041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ЦО 27</cp:lastModifiedBy>
  <cp:revision>9</cp:revision>
  <cp:lastPrinted>2022-10-07T09:34:00Z</cp:lastPrinted>
  <dcterms:created xsi:type="dcterms:W3CDTF">2016-09-12T17:03:00Z</dcterms:created>
  <dcterms:modified xsi:type="dcterms:W3CDTF">2022-10-07T09:35:00Z</dcterms:modified>
</cp:coreProperties>
</file>